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2C" w:rsidRPr="00FC7115" w:rsidRDefault="00702A2C" w:rsidP="00702A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115">
        <w:rPr>
          <w:rFonts w:ascii="Times New Roman" w:hAnsi="Times New Roman" w:cs="Times New Roman"/>
          <w:sz w:val="28"/>
          <w:szCs w:val="28"/>
        </w:rPr>
        <w:t>ГУСО «</w:t>
      </w:r>
      <w:proofErr w:type="spellStart"/>
      <w:r w:rsidRPr="00FC7115">
        <w:rPr>
          <w:rFonts w:ascii="Times New Roman" w:hAnsi="Times New Roman" w:cs="Times New Roman"/>
          <w:sz w:val="28"/>
          <w:szCs w:val="28"/>
        </w:rPr>
        <w:t>Пружанский</w:t>
      </w:r>
      <w:proofErr w:type="spellEnd"/>
      <w:r w:rsidRPr="00FC7115">
        <w:rPr>
          <w:rFonts w:ascii="Times New Roman" w:hAnsi="Times New Roman" w:cs="Times New Roman"/>
          <w:sz w:val="28"/>
          <w:szCs w:val="28"/>
        </w:rPr>
        <w:t xml:space="preserve"> районный центр коррекционно-развивающего</w:t>
      </w:r>
    </w:p>
    <w:p w:rsidR="00702A2C" w:rsidRPr="00FC7115" w:rsidRDefault="00702A2C" w:rsidP="00702A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115">
        <w:rPr>
          <w:rFonts w:ascii="Times New Roman" w:hAnsi="Times New Roman" w:cs="Times New Roman"/>
          <w:sz w:val="28"/>
          <w:szCs w:val="28"/>
        </w:rPr>
        <w:t xml:space="preserve"> обучения и реабилитации»</w:t>
      </w:r>
    </w:p>
    <w:p w:rsidR="00702A2C" w:rsidRPr="00FC7115" w:rsidRDefault="00702A2C" w:rsidP="00702A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A2C" w:rsidRPr="00FC7115" w:rsidRDefault="00702A2C" w:rsidP="00702A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A2C" w:rsidRPr="00FC7115" w:rsidRDefault="00702A2C" w:rsidP="00702A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A2C" w:rsidRPr="00FC7115" w:rsidRDefault="00702A2C" w:rsidP="00702A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A2C" w:rsidRPr="00FC7115" w:rsidRDefault="00702A2C" w:rsidP="00702A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A2C" w:rsidRPr="00FC7115" w:rsidRDefault="00702A2C" w:rsidP="00702A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A2C" w:rsidRPr="00FC7115" w:rsidRDefault="00702A2C" w:rsidP="00702A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A2C" w:rsidRPr="00FC7115" w:rsidRDefault="00702A2C" w:rsidP="00702A2C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11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Консультация для педагогов</w:t>
      </w:r>
    </w:p>
    <w:p w:rsidR="00702A2C" w:rsidRDefault="00702A2C" w:rsidP="00702A2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11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C6521">
        <w:rPr>
          <w:rFonts w:ascii="Times New Roman" w:hAnsi="Times New Roman" w:cs="Times New Roman"/>
          <w:b/>
          <w:sz w:val="28"/>
          <w:szCs w:val="28"/>
        </w:rPr>
        <w:t>Способы деятельности детей и их учет в процессе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коррекционной работы с детьми с интеллектуальной недостаточностью»</w:t>
      </w:r>
    </w:p>
    <w:p w:rsidR="00702A2C" w:rsidRPr="00FC7115" w:rsidRDefault="00702A2C" w:rsidP="00702A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A2C" w:rsidRPr="00FC7115" w:rsidRDefault="00702A2C" w:rsidP="00702A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A2C" w:rsidRPr="00FC7115" w:rsidRDefault="00702A2C" w:rsidP="00702A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A2C" w:rsidRPr="00FC7115" w:rsidRDefault="00702A2C" w:rsidP="00702A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A2C" w:rsidRPr="00FC7115" w:rsidRDefault="00702A2C" w:rsidP="00702A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2A2C" w:rsidRPr="00FC7115" w:rsidRDefault="00702A2C" w:rsidP="00702A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115">
        <w:rPr>
          <w:rFonts w:ascii="Times New Roman" w:hAnsi="Times New Roman" w:cs="Times New Roman"/>
          <w:sz w:val="28"/>
          <w:szCs w:val="28"/>
        </w:rPr>
        <w:t xml:space="preserve">Подготовила  учитель-дефектолог </w:t>
      </w:r>
    </w:p>
    <w:p w:rsidR="00702A2C" w:rsidRPr="00FC7115" w:rsidRDefault="00702A2C" w:rsidP="00702A2C">
      <w:pPr>
        <w:spacing w:after="0" w:line="36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C711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C7115">
        <w:rPr>
          <w:rFonts w:ascii="Times New Roman" w:hAnsi="Times New Roman" w:cs="Times New Roman"/>
          <w:sz w:val="28"/>
          <w:szCs w:val="28"/>
        </w:rPr>
        <w:t>Н.Н.Маркечко</w:t>
      </w:r>
      <w:proofErr w:type="spellEnd"/>
    </w:p>
    <w:p w:rsidR="00702A2C" w:rsidRPr="00FC7115" w:rsidRDefault="00702A2C" w:rsidP="00702A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A2C" w:rsidRPr="00FC7115" w:rsidRDefault="00702A2C" w:rsidP="00702A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A2C" w:rsidRPr="00FC7115" w:rsidRDefault="00702A2C" w:rsidP="00702A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A2C" w:rsidRPr="00FC7115" w:rsidRDefault="00702A2C" w:rsidP="00702A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A2C" w:rsidRPr="00FC7115" w:rsidRDefault="00702A2C" w:rsidP="00702A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A2C" w:rsidRPr="00FC7115" w:rsidRDefault="00702A2C" w:rsidP="00702A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A2C" w:rsidRPr="00FC7115" w:rsidRDefault="00702A2C" w:rsidP="00702A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A2C" w:rsidRPr="00FC7115" w:rsidRDefault="00702A2C" w:rsidP="00702A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A2C" w:rsidRPr="00FC7115" w:rsidRDefault="00590743" w:rsidP="00702A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</w:t>
      </w:r>
      <w:r w:rsidR="00702A2C" w:rsidRPr="00FC7115">
        <w:rPr>
          <w:rFonts w:ascii="Times New Roman" w:hAnsi="Times New Roman" w:cs="Times New Roman"/>
          <w:sz w:val="28"/>
          <w:szCs w:val="28"/>
        </w:rPr>
        <w:t>брь 2018г.</w:t>
      </w:r>
    </w:p>
    <w:p w:rsidR="009C6521" w:rsidRDefault="00F0012F" w:rsidP="00007A6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9C6521" w:rsidRPr="009C6521">
        <w:rPr>
          <w:rFonts w:ascii="Times New Roman" w:hAnsi="Times New Roman" w:cs="Times New Roman"/>
          <w:b/>
          <w:sz w:val="28"/>
          <w:szCs w:val="28"/>
        </w:rPr>
        <w:t>Способы деятельности детей и их учет в процессе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коррекционной работы с детьми с интеллектуальной недостаточностью»</w:t>
      </w:r>
    </w:p>
    <w:p w:rsidR="00F0012F" w:rsidRPr="00F0012F" w:rsidRDefault="00F0012F" w:rsidP="00007A64">
      <w:pPr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012F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Дети, посту</w:t>
      </w:r>
      <w:r w:rsidR="00CD3106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пающие в специальную дошкольную группу </w:t>
      </w:r>
      <w:proofErr w:type="spellStart"/>
      <w:r w:rsidR="00CD3106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ЦКРОиР</w:t>
      </w:r>
      <w:proofErr w:type="spellEnd"/>
      <w:r w:rsidRPr="00F0012F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, как правило, не владеют способами усвоения общественного опыта. Они не умеют действовать ни по словесной инструкции, ни по подражанию, ни по образцу. Они практически не могут выполнять по подражанию действия с предметами. При этом они либо не понимают задачи, либо не имеют возможности опираться на свойства предметов. </w:t>
      </w:r>
    </w:p>
    <w:p w:rsidR="00CD3106" w:rsidRDefault="00F0012F" w:rsidP="00007A64">
      <w:pPr>
        <w:pStyle w:val="a5"/>
        <w:spacing w:before="0" w:beforeAutospacing="0" w:after="0" w:afterAutospacing="0" w:line="360" w:lineRule="auto"/>
        <w:ind w:firstLine="708"/>
        <w:jc w:val="both"/>
        <w:rPr>
          <w:rStyle w:val="a7"/>
          <w:i w:val="0"/>
          <w:color w:val="auto"/>
          <w:sz w:val="28"/>
          <w:szCs w:val="28"/>
        </w:rPr>
      </w:pPr>
      <w:r w:rsidRPr="00F0012F">
        <w:rPr>
          <w:rStyle w:val="a7"/>
          <w:i w:val="0"/>
          <w:color w:val="auto"/>
          <w:sz w:val="28"/>
          <w:szCs w:val="28"/>
        </w:rPr>
        <w:t>На первом эт</w:t>
      </w:r>
      <w:r w:rsidR="00CD3106">
        <w:rPr>
          <w:rStyle w:val="a7"/>
          <w:i w:val="0"/>
          <w:color w:val="auto"/>
          <w:sz w:val="28"/>
          <w:szCs w:val="28"/>
        </w:rPr>
        <w:t>апе обучения</w:t>
      </w:r>
      <w:r w:rsidRPr="00F0012F">
        <w:rPr>
          <w:rStyle w:val="a7"/>
          <w:i w:val="0"/>
          <w:color w:val="auto"/>
          <w:sz w:val="28"/>
          <w:szCs w:val="28"/>
        </w:rPr>
        <w:t xml:space="preserve"> ребенка основной задачей является создание у ребенка положительного эмоционального отношения к совместным действиям </w:t>
      </w:r>
      <w:proofErr w:type="gramStart"/>
      <w:r w:rsidRPr="00F0012F">
        <w:rPr>
          <w:rStyle w:val="a7"/>
          <w:i w:val="0"/>
          <w:color w:val="auto"/>
          <w:sz w:val="28"/>
          <w:szCs w:val="28"/>
        </w:rPr>
        <w:t>со</w:t>
      </w:r>
      <w:proofErr w:type="gramEnd"/>
      <w:r w:rsidRPr="00F0012F">
        <w:rPr>
          <w:rStyle w:val="a7"/>
          <w:i w:val="0"/>
          <w:color w:val="auto"/>
          <w:sz w:val="28"/>
          <w:szCs w:val="28"/>
        </w:rPr>
        <w:t xml:space="preserve"> взрослым и использование совместных действий в обучении. У ребенка с нарушениями интеллекта совместные действия </w:t>
      </w:r>
      <w:proofErr w:type="gramStart"/>
      <w:r w:rsidRPr="00F0012F">
        <w:rPr>
          <w:rStyle w:val="a7"/>
          <w:i w:val="0"/>
          <w:color w:val="auto"/>
          <w:sz w:val="28"/>
          <w:szCs w:val="28"/>
        </w:rPr>
        <w:t>со</w:t>
      </w:r>
      <w:proofErr w:type="gramEnd"/>
      <w:r w:rsidRPr="00F0012F">
        <w:rPr>
          <w:rStyle w:val="a7"/>
          <w:i w:val="0"/>
          <w:color w:val="auto"/>
          <w:sz w:val="28"/>
          <w:szCs w:val="28"/>
        </w:rPr>
        <w:t xml:space="preserve"> взрослым зачастую вызывают активный протест, неприятие. Вместе с тем, на первых порах, это один из самых действенных методов обучения. Путь к этому лежит через тактильный контакт с ребенком в сочетании с ласковым обращением. Однако ласковое отношение не означает снижение требовательности и настойчивости взрослого в преодолении негативного отношения ребенка к совместным действиям. Если этот этап — этап совместных действий будет пропущен и сопротивление ребенка не будет преодолено, то усвоение других способов общественного опыта может оказаться весьма затрудненным и непродуктивным для его развития. </w:t>
      </w:r>
    </w:p>
    <w:p w:rsidR="00F0012F" w:rsidRPr="00F0012F" w:rsidRDefault="00F0012F" w:rsidP="00007A64">
      <w:pPr>
        <w:pStyle w:val="a5"/>
        <w:spacing w:before="0" w:beforeAutospacing="0" w:after="0" w:afterAutospacing="0" w:line="360" w:lineRule="auto"/>
        <w:ind w:firstLine="708"/>
        <w:jc w:val="both"/>
        <w:rPr>
          <w:rStyle w:val="a7"/>
          <w:i w:val="0"/>
          <w:color w:val="auto"/>
          <w:sz w:val="28"/>
          <w:szCs w:val="28"/>
        </w:rPr>
      </w:pPr>
      <w:proofErr w:type="gramStart"/>
      <w:r w:rsidRPr="00F0012F">
        <w:rPr>
          <w:rStyle w:val="a7"/>
          <w:i w:val="0"/>
          <w:color w:val="auto"/>
          <w:sz w:val="28"/>
          <w:szCs w:val="28"/>
        </w:rPr>
        <w:t>На втором этапе включение жестов в общение взрослого и ребенка, среди которых особое место занимает указательный жест, впервые направляющий внимание ребенка на предмет, на выделение его из ситуации.</w:t>
      </w:r>
      <w:proofErr w:type="gramEnd"/>
      <w:r w:rsidRPr="00F0012F">
        <w:rPr>
          <w:rStyle w:val="a7"/>
          <w:i w:val="0"/>
          <w:color w:val="auto"/>
          <w:sz w:val="28"/>
          <w:szCs w:val="28"/>
        </w:rPr>
        <w:t xml:space="preserve"> Как правило, </w:t>
      </w:r>
      <w:r w:rsidR="00CD3106">
        <w:rPr>
          <w:rStyle w:val="a7"/>
          <w:i w:val="0"/>
          <w:color w:val="auto"/>
          <w:sz w:val="28"/>
          <w:szCs w:val="28"/>
        </w:rPr>
        <w:t xml:space="preserve">дети с нарушением интеллекта </w:t>
      </w:r>
      <w:r w:rsidRPr="00F0012F">
        <w:rPr>
          <w:rStyle w:val="a7"/>
          <w:i w:val="0"/>
          <w:color w:val="auto"/>
          <w:sz w:val="28"/>
          <w:szCs w:val="28"/>
        </w:rPr>
        <w:t xml:space="preserve"> не понимают жестов, в том числе и указательного, и сами их не используют. </w:t>
      </w:r>
    </w:p>
    <w:p w:rsidR="00F0012F" w:rsidRPr="00F0012F" w:rsidRDefault="00F0012F" w:rsidP="00007A64">
      <w:pPr>
        <w:pStyle w:val="a5"/>
        <w:spacing w:before="0" w:beforeAutospacing="0" w:after="0" w:afterAutospacing="0" w:line="360" w:lineRule="auto"/>
        <w:ind w:firstLine="708"/>
        <w:jc w:val="both"/>
        <w:rPr>
          <w:rStyle w:val="a7"/>
          <w:i w:val="0"/>
          <w:color w:val="auto"/>
          <w:sz w:val="28"/>
          <w:szCs w:val="28"/>
        </w:rPr>
      </w:pPr>
      <w:r w:rsidRPr="00F0012F">
        <w:rPr>
          <w:rStyle w:val="a7"/>
          <w:i w:val="0"/>
          <w:color w:val="auto"/>
          <w:sz w:val="28"/>
          <w:szCs w:val="28"/>
        </w:rPr>
        <w:t>Решение этих задач является той базой, без которой нельзя приступать к овладению подражанием, действиями по образцу и по словесной инструкции и к формированию поисковых способов ориентировки.</w:t>
      </w:r>
    </w:p>
    <w:p w:rsidR="00F0012F" w:rsidRPr="00F0012F" w:rsidRDefault="00F0012F" w:rsidP="00007A64">
      <w:pPr>
        <w:pStyle w:val="a5"/>
        <w:spacing w:before="0" w:beforeAutospacing="0" w:after="0" w:afterAutospacing="0" w:line="360" w:lineRule="auto"/>
        <w:ind w:firstLine="708"/>
        <w:jc w:val="both"/>
        <w:rPr>
          <w:rStyle w:val="a7"/>
          <w:i w:val="0"/>
          <w:color w:val="auto"/>
          <w:sz w:val="28"/>
          <w:szCs w:val="28"/>
        </w:rPr>
      </w:pPr>
      <w:r w:rsidRPr="00F0012F">
        <w:rPr>
          <w:rStyle w:val="a7"/>
          <w:i w:val="0"/>
          <w:color w:val="auto"/>
          <w:sz w:val="28"/>
          <w:szCs w:val="28"/>
        </w:rPr>
        <w:lastRenderedPageBreak/>
        <w:t>Третий этап — овладение подражанием. Оно включает в себя подражание движениям и подражание действиям с предметами. Обучение начинается с подражания движениям, потому что оно дается детям легче, чем подражание действиям с предметами. При обучении подражанию движениям основным вспомогательным средством оказываются совместные действия взрослого и ребенка, а не жестовая инструкция.</w:t>
      </w:r>
    </w:p>
    <w:p w:rsidR="00F0012F" w:rsidRPr="00F0012F" w:rsidRDefault="00F0012F" w:rsidP="00007A64">
      <w:pPr>
        <w:pStyle w:val="a5"/>
        <w:spacing w:before="0" w:beforeAutospacing="0" w:after="0" w:afterAutospacing="0" w:line="360" w:lineRule="auto"/>
        <w:ind w:firstLine="708"/>
        <w:jc w:val="both"/>
        <w:rPr>
          <w:rStyle w:val="a7"/>
          <w:i w:val="0"/>
          <w:color w:val="auto"/>
          <w:sz w:val="28"/>
          <w:szCs w:val="28"/>
        </w:rPr>
      </w:pPr>
      <w:r w:rsidRPr="00F0012F">
        <w:rPr>
          <w:rStyle w:val="a7"/>
          <w:i w:val="0"/>
          <w:color w:val="auto"/>
          <w:sz w:val="28"/>
          <w:szCs w:val="28"/>
        </w:rPr>
        <w:t>В случае затруднений при подражании действиям с предметами в качестве вспомогательного средства используется указательный жест. Он помогает ребенку вычленить сам объект действия, цель, направление передвижения предметов в пр</w:t>
      </w:r>
      <w:r w:rsidR="00CD3106">
        <w:rPr>
          <w:rStyle w:val="a7"/>
          <w:i w:val="0"/>
          <w:color w:val="auto"/>
          <w:sz w:val="28"/>
          <w:szCs w:val="28"/>
        </w:rPr>
        <w:t>остранстве</w:t>
      </w:r>
      <w:r w:rsidRPr="00F0012F">
        <w:rPr>
          <w:rStyle w:val="a7"/>
          <w:i w:val="0"/>
          <w:color w:val="auto"/>
          <w:sz w:val="28"/>
          <w:szCs w:val="28"/>
        </w:rPr>
        <w:t>, а также обратить его внимание на существенные для данного действия свойства объектов — форму, величину, цвет. Однако там, где ребенок не действует не только по подражанию, но и по жестовой инструкции, необходимо вернуться к совместным действиям. Затем проделать обратный путь — от совместных действий к жестовой инструкции и от нее к подражанию.</w:t>
      </w:r>
    </w:p>
    <w:p w:rsidR="00F0012F" w:rsidRPr="00F0012F" w:rsidRDefault="00F0012F" w:rsidP="00007A64">
      <w:pPr>
        <w:pStyle w:val="a5"/>
        <w:spacing w:before="0" w:beforeAutospacing="0" w:after="0" w:afterAutospacing="0" w:line="360" w:lineRule="auto"/>
        <w:ind w:firstLine="708"/>
        <w:jc w:val="both"/>
        <w:rPr>
          <w:rStyle w:val="a7"/>
          <w:i w:val="0"/>
          <w:color w:val="auto"/>
          <w:sz w:val="28"/>
          <w:szCs w:val="28"/>
        </w:rPr>
      </w:pPr>
      <w:r w:rsidRPr="00F0012F">
        <w:rPr>
          <w:rStyle w:val="a7"/>
          <w:i w:val="0"/>
          <w:color w:val="auto"/>
          <w:sz w:val="28"/>
          <w:szCs w:val="28"/>
        </w:rPr>
        <w:t>В то же время подражание движениям и подражание действиям с предметами могут решать задачи разной сложности и формироваться параллельно.</w:t>
      </w:r>
    </w:p>
    <w:p w:rsidR="00F0012F" w:rsidRPr="00F0012F" w:rsidRDefault="00F0012F" w:rsidP="00007A64">
      <w:pPr>
        <w:pStyle w:val="a5"/>
        <w:spacing w:before="0" w:beforeAutospacing="0" w:after="0" w:afterAutospacing="0" w:line="360" w:lineRule="auto"/>
        <w:ind w:firstLine="708"/>
        <w:jc w:val="both"/>
        <w:rPr>
          <w:rStyle w:val="a7"/>
          <w:i w:val="0"/>
          <w:color w:val="auto"/>
          <w:sz w:val="28"/>
          <w:szCs w:val="28"/>
        </w:rPr>
      </w:pPr>
      <w:r w:rsidRPr="00F0012F">
        <w:rPr>
          <w:rStyle w:val="a7"/>
          <w:i w:val="0"/>
          <w:color w:val="auto"/>
          <w:sz w:val="28"/>
          <w:szCs w:val="28"/>
        </w:rPr>
        <w:t xml:space="preserve">Одновременно с усвоением первых способов — совместных действий </w:t>
      </w:r>
      <w:proofErr w:type="gramStart"/>
      <w:r w:rsidRPr="00F0012F">
        <w:rPr>
          <w:rStyle w:val="a7"/>
          <w:i w:val="0"/>
          <w:color w:val="auto"/>
          <w:sz w:val="28"/>
          <w:szCs w:val="28"/>
        </w:rPr>
        <w:t>со</w:t>
      </w:r>
      <w:proofErr w:type="gramEnd"/>
      <w:r w:rsidRPr="00F0012F">
        <w:rPr>
          <w:rStyle w:val="a7"/>
          <w:i w:val="0"/>
          <w:color w:val="auto"/>
          <w:sz w:val="28"/>
          <w:szCs w:val="28"/>
        </w:rPr>
        <w:t xml:space="preserve"> взрослым, действий по указательному жесту и подражанию — следует обратить особое внимание на самостоятельные действия детей с предметами. Столкнувшись в процессе действий с игрушками или в практической деятельности с новыми, незнакомыми заданиями, дети с нарушением интеллекта сразу же переходят к действиям силой или к хаотичным действиям. Это происходит от неумения пользоваться поисковыми способами ориентировки, в первую очередь, пробами. Они не отбрасывают ошибочные варианты и повторяют одни и те же непродуктивные действия, одновременно не фиксируя правильные варианты, приводящие к положительным результатам. Таким образо</w:t>
      </w:r>
      <w:r w:rsidR="00CD3106">
        <w:rPr>
          <w:rStyle w:val="a7"/>
          <w:i w:val="0"/>
          <w:color w:val="auto"/>
          <w:sz w:val="28"/>
          <w:szCs w:val="28"/>
        </w:rPr>
        <w:t xml:space="preserve">м, дети с интеллектуальной </w:t>
      </w:r>
      <w:r w:rsidR="00CD3106">
        <w:rPr>
          <w:rStyle w:val="a7"/>
          <w:i w:val="0"/>
          <w:color w:val="auto"/>
          <w:sz w:val="28"/>
          <w:szCs w:val="28"/>
        </w:rPr>
        <w:lastRenderedPageBreak/>
        <w:t>недостаточностью</w:t>
      </w:r>
      <w:r w:rsidRPr="00F0012F">
        <w:rPr>
          <w:rStyle w:val="a7"/>
          <w:i w:val="0"/>
          <w:color w:val="auto"/>
          <w:sz w:val="28"/>
          <w:szCs w:val="28"/>
        </w:rPr>
        <w:t>, как правило, не владеют методом проб и ошибок, который является одним из способов усвоения общественного опыта.</w:t>
      </w:r>
    </w:p>
    <w:p w:rsidR="00CD3106" w:rsidRDefault="00F0012F" w:rsidP="00007A64">
      <w:pPr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012F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Овладение подражанием и методом проб и ошибок является «трамплином» для пятого этапа, т.е. для овладения действиями по образцу. Образец, в отличие от подражания, дается ребенку в готовом виде, и ребенок должен воспроизвести его, не </w:t>
      </w:r>
      <w:proofErr w:type="gramStart"/>
      <w:r w:rsidRPr="00F0012F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видя как он создается</w:t>
      </w:r>
      <w:proofErr w:type="gramEnd"/>
      <w:r w:rsidRPr="00F0012F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взрослым. </w:t>
      </w:r>
    </w:p>
    <w:p w:rsidR="00CD3106" w:rsidRDefault="00F0012F" w:rsidP="00007A64">
      <w:pPr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F0012F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Особое место среди способов обучения, передачи ребенку общественного опыта, занимает речевая инструкция, которая включает словесное описание предмета, ситуации, действия, вообще включение слова в руководство действиям ребенка. Использование слова в обучение (передача ребенку знаний), умений и навыков с его помощью, а также руководство действиями ребенка с помощью изолированной инструкции, до овладения всеми описанными выше способами оказывается непродуктивным.</w:t>
      </w:r>
    </w:p>
    <w:p w:rsidR="00CD3106" w:rsidRDefault="00CD3106" w:rsidP="00007A64">
      <w:pPr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Таким образом, к способам усвоения деятельности относят:</w:t>
      </w:r>
    </w:p>
    <w:p w:rsidR="009C6521" w:rsidRPr="00CD3106" w:rsidRDefault="00CD3106" w:rsidP="00007A64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с</w:t>
      </w:r>
      <w:r w:rsidR="009C6521" w:rsidRPr="00CD3106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овместные действия педагога и ребенка</w:t>
      </w:r>
      <w:r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;</w:t>
      </w:r>
    </w:p>
    <w:p w:rsidR="00CD3106" w:rsidRPr="00CD3106" w:rsidRDefault="00CD3106" w:rsidP="00007A6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д</w:t>
      </w:r>
      <w:r w:rsidR="009C6521" w:rsidRPr="00CD3106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ействия ребенка по жестовой инструкции педагога</w:t>
      </w:r>
      <w:r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;</w:t>
      </w:r>
    </w:p>
    <w:p w:rsidR="00CD3106" w:rsidRPr="00CD3106" w:rsidRDefault="00CD3106" w:rsidP="00007A64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д</w:t>
      </w:r>
      <w:r w:rsidR="009C6521" w:rsidRPr="00CD3106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ействия по подражанию взрослому</w:t>
      </w:r>
      <w:r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;</w:t>
      </w:r>
    </w:p>
    <w:p w:rsidR="00CD3106" w:rsidRPr="00CD3106" w:rsidRDefault="00CD3106" w:rsidP="00007A6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м</w:t>
      </w:r>
      <w:r w:rsidR="009C6521" w:rsidRPr="00CD3106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етод проб и ошибок (поисковый способ ориентировки)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3106" w:rsidRPr="00CD3106" w:rsidRDefault="00CD3106" w:rsidP="00007A64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д</w:t>
      </w:r>
      <w:r w:rsidR="009C6521" w:rsidRPr="00CD3106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ействия по готовому образцу</w:t>
      </w:r>
      <w:r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;</w:t>
      </w:r>
      <w:r w:rsidR="009C6521" w:rsidRPr="00CD3106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CD3106" w:rsidRPr="00CD3106" w:rsidRDefault="00CD3106" w:rsidP="00007A64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д</w:t>
      </w:r>
      <w:r w:rsidR="009C6521" w:rsidRPr="00CD3106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ействия по словесной инструкции взрослого</w:t>
      </w:r>
      <w:r w:rsidR="009C6521" w:rsidRPr="00CD3106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</w:p>
    <w:p w:rsidR="009C6521" w:rsidRPr="009C6521" w:rsidRDefault="009C6521" w:rsidP="00007A64">
      <w:pPr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9C6521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Знание способов деятельности подсказывает стратегию оказания помощи.</w:t>
      </w:r>
    </w:p>
    <w:p w:rsidR="009C6521" w:rsidRPr="009C6521" w:rsidRDefault="009C6521" w:rsidP="00007A64">
      <w:pPr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9C6521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Если ребенок испытывает затруднения при выполнении деятельности, необходимо использовать в качестве помощи возврат к предыдущим способам, которыми он владеет, отталкиваясь от них переходить к освоению нового способа.</w:t>
      </w:r>
    </w:p>
    <w:p w:rsidR="00007A64" w:rsidRPr="00007A64" w:rsidRDefault="00007A64" w:rsidP="00007A64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A64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9C6521" w:rsidRPr="009C6521" w:rsidRDefault="00007A64" w:rsidP="00007A6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EDE">
        <w:rPr>
          <w:rFonts w:ascii="Times New Roman" w:eastAsia="Times New Roman" w:hAnsi="Times New Roman" w:cs="Times New Roman"/>
          <w:sz w:val="28"/>
          <w:szCs w:val="28"/>
        </w:rPr>
        <w:t>Катаева, А. А. Дошкольная олигофренопедагогика: учеб</w:t>
      </w:r>
      <w:proofErr w:type="gramStart"/>
      <w:r w:rsidRPr="00CF0E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F0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F0ED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CF0EDE">
        <w:rPr>
          <w:rFonts w:ascii="Times New Roman" w:eastAsia="Times New Roman" w:hAnsi="Times New Roman" w:cs="Times New Roman"/>
          <w:sz w:val="28"/>
          <w:szCs w:val="28"/>
        </w:rPr>
        <w:t xml:space="preserve">ля студ. </w:t>
      </w:r>
      <w:proofErr w:type="spellStart"/>
      <w:r w:rsidRPr="00CF0EDE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CF0EDE">
        <w:rPr>
          <w:rFonts w:ascii="Times New Roman" w:eastAsia="Times New Roman" w:hAnsi="Times New Roman" w:cs="Times New Roman"/>
          <w:sz w:val="28"/>
          <w:szCs w:val="28"/>
        </w:rPr>
        <w:t xml:space="preserve">. учеб, заведений / А. А. Катаева, Е. А. </w:t>
      </w:r>
      <w:proofErr w:type="spellStart"/>
      <w:r w:rsidRPr="00CF0EDE">
        <w:rPr>
          <w:rFonts w:ascii="Times New Roman" w:eastAsia="Times New Roman" w:hAnsi="Times New Roman" w:cs="Times New Roman"/>
          <w:sz w:val="28"/>
          <w:szCs w:val="28"/>
        </w:rPr>
        <w:t>Стребелева</w:t>
      </w:r>
      <w:proofErr w:type="spellEnd"/>
      <w:r w:rsidRPr="00CF0EDE">
        <w:rPr>
          <w:rFonts w:ascii="Times New Roman" w:eastAsia="Times New Roman" w:hAnsi="Times New Roman" w:cs="Times New Roman"/>
          <w:sz w:val="28"/>
          <w:szCs w:val="28"/>
        </w:rPr>
        <w:t xml:space="preserve">. –  М.: </w:t>
      </w:r>
      <w:proofErr w:type="spellStart"/>
      <w:r w:rsidRPr="00CF0EDE">
        <w:rPr>
          <w:rFonts w:ascii="Times New Roman" w:eastAsia="Times New Roman" w:hAnsi="Times New Roman" w:cs="Times New Roman"/>
          <w:sz w:val="28"/>
          <w:szCs w:val="28"/>
        </w:rPr>
        <w:t>Гуманит</w:t>
      </w:r>
      <w:proofErr w:type="spellEnd"/>
      <w:r w:rsidRPr="00CF0EDE">
        <w:rPr>
          <w:rFonts w:ascii="Times New Roman" w:eastAsia="Times New Roman" w:hAnsi="Times New Roman" w:cs="Times New Roman"/>
          <w:sz w:val="28"/>
          <w:szCs w:val="28"/>
        </w:rPr>
        <w:t>. изд. центр ВЛАДОС, 2005.</w:t>
      </w:r>
    </w:p>
    <w:sectPr w:rsidR="009C6521" w:rsidRPr="009C6521" w:rsidSect="004F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077C"/>
    <w:multiLevelType w:val="hybridMultilevel"/>
    <w:tmpl w:val="D246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17B06"/>
    <w:multiLevelType w:val="hybridMultilevel"/>
    <w:tmpl w:val="DA6635A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9C4"/>
    <w:rsid w:val="00007A64"/>
    <w:rsid w:val="000869C4"/>
    <w:rsid w:val="00256341"/>
    <w:rsid w:val="00272EC5"/>
    <w:rsid w:val="003903CF"/>
    <w:rsid w:val="003B2F7F"/>
    <w:rsid w:val="003E3830"/>
    <w:rsid w:val="004A18EB"/>
    <w:rsid w:val="004F3576"/>
    <w:rsid w:val="00590743"/>
    <w:rsid w:val="00702A2C"/>
    <w:rsid w:val="00902E66"/>
    <w:rsid w:val="009C6521"/>
    <w:rsid w:val="00B068AB"/>
    <w:rsid w:val="00C738FA"/>
    <w:rsid w:val="00C801BC"/>
    <w:rsid w:val="00CD3106"/>
    <w:rsid w:val="00F0012F"/>
    <w:rsid w:val="00F1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76"/>
  </w:style>
  <w:style w:type="paragraph" w:styleId="2">
    <w:name w:val="heading 2"/>
    <w:basedOn w:val="a"/>
    <w:next w:val="a"/>
    <w:link w:val="20"/>
    <w:uiPriority w:val="9"/>
    <w:unhideWhenUsed/>
    <w:qFormat/>
    <w:rsid w:val="00272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068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9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68A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068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0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068A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72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ubtle Emphasis"/>
    <w:basedOn w:val="a0"/>
    <w:uiPriority w:val="19"/>
    <w:qFormat/>
    <w:rsid w:val="009C652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2019-01-29T12:21:00Z</dcterms:created>
  <dcterms:modified xsi:type="dcterms:W3CDTF">2019-01-29T15:22:00Z</dcterms:modified>
</cp:coreProperties>
</file>